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BDAA4" w14:textId="551E040D" w:rsidR="006D7EB2" w:rsidRDefault="006D7EB2" w:rsidP="00E92880">
      <w:pPr>
        <w:tabs>
          <w:tab w:val="num" w:pos="720"/>
        </w:tabs>
        <w:ind w:left="720" w:hanging="360"/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DAF1023" wp14:editId="7B8E4AD3">
            <wp:simplePos x="0" y="0"/>
            <wp:positionH relativeFrom="column">
              <wp:posOffset>5219065</wp:posOffset>
            </wp:positionH>
            <wp:positionV relativeFrom="paragraph">
              <wp:posOffset>-658495</wp:posOffset>
            </wp:positionV>
            <wp:extent cx="1169035" cy="853528"/>
            <wp:effectExtent l="0" t="0" r="0" b="3810"/>
            <wp:wrapNone/>
            <wp:docPr id="75627090" name="Picture 1" descr="A black background with white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27090" name="Picture 1" descr="A black background with white dot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853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F6FA7F" w14:textId="503F6451" w:rsidR="006D7EB2" w:rsidRPr="006D7EB2" w:rsidRDefault="006D7EB2" w:rsidP="006D7EB2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0242EC" w:rsidRPr="008D60DC" w14:paraId="6B5D98B3" w14:textId="77777777" w:rsidTr="00D8306D">
        <w:tc>
          <w:tcPr>
            <w:tcW w:w="5103" w:type="dxa"/>
          </w:tcPr>
          <w:p w14:paraId="1CEECA11" w14:textId="7E7D0554" w:rsidR="000242EC" w:rsidRPr="008D60DC" w:rsidRDefault="000242EC" w:rsidP="000242EC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8D60DC">
              <w:rPr>
                <w:rFonts w:ascii="Arial" w:hAnsi="Arial" w:cs="Arial"/>
                <w:b/>
                <w:bCs/>
              </w:rPr>
              <w:t>Opportunities</w:t>
            </w:r>
          </w:p>
        </w:tc>
        <w:tc>
          <w:tcPr>
            <w:tcW w:w="5103" w:type="dxa"/>
          </w:tcPr>
          <w:p w14:paraId="0FCA9FB5" w14:textId="6BF15815" w:rsidR="000242EC" w:rsidRPr="008D60DC" w:rsidRDefault="000242EC" w:rsidP="000242EC">
            <w:pPr>
              <w:jc w:val="center"/>
              <w:rPr>
                <w:rFonts w:ascii="Arial" w:hAnsi="Arial" w:cs="Arial"/>
                <w:b/>
                <w:bCs/>
              </w:rPr>
            </w:pPr>
            <w:r w:rsidRPr="008D60DC">
              <w:rPr>
                <w:rFonts w:ascii="Arial" w:hAnsi="Arial" w:cs="Arial"/>
                <w:b/>
                <w:bCs/>
              </w:rPr>
              <w:t>Challenges</w:t>
            </w:r>
          </w:p>
        </w:tc>
      </w:tr>
      <w:tr w:rsidR="00D8306D" w:rsidRPr="008D60DC" w14:paraId="2E1A03D8" w14:textId="6D1F4D4E" w:rsidTr="00D8306D">
        <w:tc>
          <w:tcPr>
            <w:tcW w:w="5103" w:type="dxa"/>
          </w:tcPr>
          <w:p w14:paraId="7B42007F" w14:textId="04D3CA5A" w:rsidR="00D8306D" w:rsidRPr="008D60DC" w:rsidRDefault="00D8306D" w:rsidP="00D8306D">
            <w:pPr>
              <w:jc w:val="both"/>
              <w:rPr>
                <w:rFonts w:ascii="Arial" w:hAnsi="Arial" w:cs="Arial"/>
              </w:rPr>
            </w:pPr>
            <w:r w:rsidRPr="00F1138E">
              <w:rPr>
                <w:rFonts w:ascii="Arial" w:hAnsi="Arial" w:cs="Arial"/>
              </w:rPr>
              <w:t xml:space="preserve">Oman has </w:t>
            </w:r>
            <w:r w:rsidR="00F1138E">
              <w:rPr>
                <w:rFonts w:ascii="Arial" w:hAnsi="Arial" w:cs="Arial"/>
              </w:rPr>
              <w:t>many existing oilfields in the Rub’ al Khali</w:t>
            </w:r>
            <w:r w:rsidR="00685EE4">
              <w:rPr>
                <w:rFonts w:ascii="Arial" w:hAnsi="Arial" w:cs="Arial"/>
              </w:rPr>
              <w:t xml:space="preserve"> and many areas such as </w:t>
            </w:r>
            <w:r w:rsidR="00FB5E32">
              <w:rPr>
                <w:rFonts w:ascii="Arial" w:hAnsi="Arial" w:cs="Arial"/>
              </w:rPr>
              <w:t>‘</w:t>
            </w:r>
            <w:r w:rsidR="00685EE4">
              <w:rPr>
                <w:rFonts w:ascii="Arial" w:hAnsi="Arial" w:cs="Arial"/>
              </w:rPr>
              <w:t>Block 36’ which remain</w:t>
            </w:r>
            <w:r w:rsidR="00FB5E32">
              <w:rPr>
                <w:rFonts w:ascii="Arial" w:hAnsi="Arial" w:cs="Arial"/>
              </w:rPr>
              <w:t xml:space="preserve"> unexplored </w:t>
            </w:r>
            <w:r w:rsidR="00BE2C4A">
              <w:rPr>
                <w:rFonts w:ascii="Arial" w:hAnsi="Arial" w:cs="Arial"/>
              </w:rPr>
              <w:t xml:space="preserve">and therefore the potential to extract oil from these places could increase revenue. </w:t>
            </w:r>
          </w:p>
        </w:tc>
        <w:tc>
          <w:tcPr>
            <w:tcW w:w="5103" w:type="dxa"/>
          </w:tcPr>
          <w:p w14:paraId="64E5A929" w14:textId="7A346D73" w:rsidR="00D8306D" w:rsidRPr="008D60DC" w:rsidRDefault="00D8306D" w:rsidP="00D8306D">
            <w:pPr>
              <w:jc w:val="both"/>
              <w:rPr>
                <w:rFonts w:ascii="Arial" w:hAnsi="Arial" w:cs="Arial"/>
              </w:rPr>
            </w:pPr>
            <w:r w:rsidRPr="008D60DC">
              <w:rPr>
                <w:rFonts w:ascii="Arial" w:hAnsi="Arial" w:cs="Arial"/>
              </w:rPr>
              <w:t>Summer temperatures in the Rub' al Khali can exceed 50°C, making construction and human habitation difficult.</w:t>
            </w:r>
          </w:p>
        </w:tc>
      </w:tr>
      <w:tr w:rsidR="00D8306D" w:rsidRPr="008D60DC" w14:paraId="53D8629D" w14:textId="3BEA9E10" w:rsidTr="00D8306D">
        <w:tc>
          <w:tcPr>
            <w:tcW w:w="5103" w:type="dxa"/>
          </w:tcPr>
          <w:p w14:paraId="37124B1D" w14:textId="712B946B" w:rsidR="00D8306D" w:rsidRPr="008D60DC" w:rsidRDefault="00D8306D" w:rsidP="00D8306D">
            <w:pPr>
              <w:jc w:val="both"/>
              <w:rPr>
                <w:rFonts w:ascii="Arial" w:hAnsi="Arial" w:cs="Arial"/>
              </w:rPr>
            </w:pPr>
            <w:r w:rsidRPr="008D60DC">
              <w:rPr>
                <w:rFonts w:ascii="Arial" w:hAnsi="Arial" w:cs="Arial"/>
              </w:rPr>
              <w:t>The Block 6 concession</w:t>
            </w:r>
            <w:r w:rsidR="00BF348C" w:rsidRPr="008D60DC">
              <w:rPr>
                <w:rFonts w:ascii="Arial" w:hAnsi="Arial" w:cs="Arial"/>
              </w:rPr>
              <w:t xml:space="preserve"> which covers</w:t>
            </w:r>
            <w:r w:rsidRPr="008D60DC">
              <w:rPr>
                <w:rFonts w:ascii="Arial" w:hAnsi="Arial" w:cs="Arial"/>
              </w:rPr>
              <w:t xml:space="preserve"> a large area of the desert</w:t>
            </w:r>
            <w:r w:rsidR="00BF348C" w:rsidRPr="008D60DC">
              <w:rPr>
                <w:rFonts w:ascii="Arial" w:hAnsi="Arial" w:cs="Arial"/>
              </w:rPr>
              <w:t xml:space="preserve"> </w:t>
            </w:r>
            <w:r w:rsidRPr="008D60DC">
              <w:rPr>
                <w:rFonts w:ascii="Arial" w:hAnsi="Arial" w:cs="Arial"/>
              </w:rPr>
              <w:t xml:space="preserve">is one of Oman’s key </w:t>
            </w:r>
            <w:r w:rsidR="00EB6300" w:rsidRPr="008D60DC">
              <w:rPr>
                <w:rFonts w:ascii="Arial" w:hAnsi="Arial" w:cs="Arial"/>
              </w:rPr>
              <w:t>petroleum and natural gas</w:t>
            </w:r>
            <w:r w:rsidRPr="008D60DC">
              <w:rPr>
                <w:rFonts w:ascii="Arial" w:hAnsi="Arial" w:cs="Arial"/>
              </w:rPr>
              <w:t xml:space="preserve"> production zones.</w:t>
            </w:r>
            <w:r w:rsidR="006D4FF0">
              <w:rPr>
                <w:rFonts w:ascii="Arial" w:hAnsi="Arial" w:cs="Arial"/>
              </w:rPr>
              <w:t xml:space="preserve"> Many </w:t>
            </w:r>
            <w:r w:rsidR="009C09FB">
              <w:rPr>
                <w:rFonts w:ascii="Arial" w:hAnsi="Arial" w:cs="Arial"/>
              </w:rPr>
              <w:t>energy companies such as Shell and Tethys Oil (a Swedish oil company)</w:t>
            </w:r>
            <w:r w:rsidR="00D97782">
              <w:rPr>
                <w:rFonts w:ascii="Arial" w:hAnsi="Arial" w:cs="Arial"/>
              </w:rPr>
              <w:t xml:space="preserve"> invest heavily in these areas. </w:t>
            </w:r>
          </w:p>
        </w:tc>
        <w:tc>
          <w:tcPr>
            <w:tcW w:w="5103" w:type="dxa"/>
          </w:tcPr>
          <w:p w14:paraId="32BEA9EC" w14:textId="2A30E75C" w:rsidR="00D8306D" w:rsidRPr="008D60DC" w:rsidRDefault="00D8306D" w:rsidP="00D8306D">
            <w:pPr>
              <w:jc w:val="both"/>
              <w:rPr>
                <w:rFonts w:ascii="Arial" w:hAnsi="Arial" w:cs="Arial"/>
              </w:rPr>
            </w:pPr>
            <w:r w:rsidRPr="008D60DC">
              <w:rPr>
                <w:rFonts w:ascii="Arial" w:hAnsi="Arial" w:cs="Arial"/>
              </w:rPr>
              <w:t>Water scarcity is a major challenge, requiring desalination or underground water extraction, like from Dhofar’s freshwater aquifers.</w:t>
            </w:r>
          </w:p>
        </w:tc>
      </w:tr>
      <w:tr w:rsidR="00D8306D" w:rsidRPr="008D60DC" w14:paraId="6BE0C261" w14:textId="21B2ADAB" w:rsidTr="00D8306D">
        <w:tc>
          <w:tcPr>
            <w:tcW w:w="5103" w:type="dxa"/>
          </w:tcPr>
          <w:p w14:paraId="7A60BA87" w14:textId="56789E5E" w:rsidR="00D8306D" w:rsidRPr="008D60DC" w:rsidRDefault="00D8306D" w:rsidP="00D8306D">
            <w:pPr>
              <w:jc w:val="both"/>
              <w:rPr>
                <w:rFonts w:ascii="Arial" w:hAnsi="Arial" w:cs="Arial"/>
              </w:rPr>
            </w:pPr>
            <w:r w:rsidRPr="008D60DC">
              <w:rPr>
                <w:rFonts w:ascii="Arial" w:hAnsi="Arial" w:cs="Arial"/>
              </w:rPr>
              <w:t xml:space="preserve">Empty Quarter desert safari tours, operated by companies like </w:t>
            </w:r>
            <w:r w:rsidR="0046089A" w:rsidRPr="008D60DC">
              <w:rPr>
                <w:rFonts w:ascii="Arial" w:hAnsi="Arial" w:cs="Arial"/>
              </w:rPr>
              <w:t>Beautiful Salalah Tours</w:t>
            </w:r>
            <w:r w:rsidRPr="008D60DC">
              <w:rPr>
                <w:rFonts w:ascii="Arial" w:hAnsi="Arial" w:cs="Arial"/>
              </w:rPr>
              <w:t>, attract visitors for dune bashing, Bedouin experiences, and camping.</w:t>
            </w:r>
          </w:p>
        </w:tc>
        <w:tc>
          <w:tcPr>
            <w:tcW w:w="5103" w:type="dxa"/>
          </w:tcPr>
          <w:p w14:paraId="5EBD4EB0" w14:textId="5CF50E62" w:rsidR="00D8306D" w:rsidRPr="008D60DC" w:rsidRDefault="00D8306D" w:rsidP="00D8306D">
            <w:pPr>
              <w:jc w:val="both"/>
              <w:rPr>
                <w:rFonts w:ascii="Arial" w:hAnsi="Arial" w:cs="Arial"/>
              </w:rPr>
            </w:pPr>
            <w:r w:rsidRPr="008D60DC">
              <w:rPr>
                <w:rFonts w:ascii="Arial" w:hAnsi="Arial" w:cs="Arial"/>
              </w:rPr>
              <w:t xml:space="preserve">The Rub' al Khali is </w:t>
            </w:r>
            <w:r w:rsidR="003F5532" w:rsidRPr="008D60DC">
              <w:rPr>
                <w:rFonts w:ascii="Arial" w:hAnsi="Arial" w:cs="Arial"/>
              </w:rPr>
              <w:t xml:space="preserve">very </w:t>
            </w:r>
            <w:r w:rsidRPr="008D60DC">
              <w:rPr>
                <w:rFonts w:ascii="Arial" w:hAnsi="Arial" w:cs="Arial"/>
              </w:rPr>
              <w:t>sparsely populated, with the nearest major towns being Salalah and Haima.</w:t>
            </w:r>
          </w:p>
        </w:tc>
      </w:tr>
      <w:tr w:rsidR="00D8306D" w:rsidRPr="008D60DC" w14:paraId="6801FC02" w14:textId="45742ED9" w:rsidTr="00D8306D">
        <w:tc>
          <w:tcPr>
            <w:tcW w:w="5103" w:type="dxa"/>
          </w:tcPr>
          <w:p w14:paraId="288DEE76" w14:textId="6FB160BF" w:rsidR="00D8306D" w:rsidRPr="008D60DC" w:rsidRDefault="00D8306D" w:rsidP="00D8306D">
            <w:pPr>
              <w:jc w:val="both"/>
              <w:rPr>
                <w:rFonts w:ascii="Arial" w:hAnsi="Arial" w:cs="Arial"/>
              </w:rPr>
            </w:pPr>
            <w:r w:rsidRPr="008D60DC">
              <w:rPr>
                <w:rFonts w:ascii="Arial" w:hAnsi="Arial" w:cs="Arial"/>
              </w:rPr>
              <w:t xml:space="preserve">The </w:t>
            </w:r>
            <w:r w:rsidR="000242EC" w:rsidRPr="008D60DC">
              <w:rPr>
                <w:rFonts w:ascii="Arial" w:hAnsi="Arial" w:cs="Arial"/>
              </w:rPr>
              <w:t xml:space="preserve">lost city of </w:t>
            </w:r>
            <w:r w:rsidRPr="008D60DC">
              <w:rPr>
                <w:rFonts w:ascii="Arial" w:hAnsi="Arial" w:cs="Arial"/>
              </w:rPr>
              <w:t xml:space="preserve">Ubar </w:t>
            </w:r>
            <w:r w:rsidR="00C750A3" w:rsidRPr="008D60DC">
              <w:rPr>
                <w:rFonts w:ascii="Arial" w:hAnsi="Arial" w:cs="Arial"/>
              </w:rPr>
              <w:t xml:space="preserve">is an </w:t>
            </w:r>
            <w:r w:rsidRPr="008D60DC">
              <w:rPr>
                <w:rFonts w:ascii="Arial" w:hAnsi="Arial" w:cs="Arial"/>
              </w:rPr>
              <w:t>archaeological site, known as the</w:t>
            </w:r>
            <w:r w:rsidR="000A2730" w:rsidRPr="008D60DC">
              <w:rPr>
                <w:rFonts w:ascii="Arial" w:hAnsi="Arial" w:cs="Arial"/>
              </w:rPr>
              <w:t xml:space="preserve"> ’</w:t>
            </w:r>
            <w:r w:rsidRPr="008D60DC">
              <w:rPr>
                <w:rFonts w:ascii="Arial" w:hAnsi="Arial" w:cs="Arial"/>
              </w:rPr>
              <w:t>Atlantis of the Sands</w:t>
            </w:r>
            <w:r w:rsidR="000A2730" w:rsidRPr="008D60DC">
              <w:rPr>
                <w:rFonts w:ascii="Arial" w:hAnsi="Arial" w:cs="Arial"/>
              </w:rPr>
              <w:t>,’</w:t>
            </w:r>
            <w:r w:rsidRPr="008D60DC">
              <w:rPr>
                <w:rFonts w:ascii="Arial" w:hAnsi="Arial" w:cs="Arial"/>
              </w:rPr>
              <w:t xml:space="preserve"> is a key historical attraction</w:t>
            </w:r>
            <w:r w:rsidR="00406DEF" w:rsidRPr="008D60DC">
              <w:rPr>
                <w:rFonts w:ascii="Arial" w:hAnsi="Arial" w:cs="Arial"/>
              </w:rPr>
              <w:t xml:space="preserve"> for visitors</w:t>
            </w:r>
            <w:r w:rsidRPr="008D60DC">
              <w:rPr>
                <w:rFonts w:ascii="Arial" w:hAnsi="Arial" w:cs="Arial"/>
              </w:rPr>
              <w:t>.</w:t>
            </w:r>
          </w:p>
        </w:tc>
        <w:tc>
          <w:tcPr>
            <w:tcW w:w="5103" w:type="dxa"/>
          </w:tcPr>
          <w:p w14:paraId="15360F81" w14:textId="0764BD81" w:rsidR="00D8306D" w:rsidRPr="008D60DC" w:rsidRDefault="00D8306D" w:rsidP="00D8306D">
            <w:pPr>
              <w:jc w:val="both"/>
              <w:rPr>
                <w:rFonts w:ascii="Arial" w:hAnsi="Arial" w:cs="Arial"/>
              </w:rPr>
            </w:pPr>
            <w:r w:rsidRPr="008D60DC">
              <w:rPr>
                <w:rFonts w:ascii="Arial" w:hAnsi="Arial" w:cs="Arial"/>
              </w:rPr>
              <w:t>Lack of roads in many areas makes logistics difficult, affecting tourism and industry.</w:t>
            </w:r>
          </w:p>
        </w:tc>
      </w:tr>
      <w:tr w:rsidR="00D8306D" w:rsidRPr="008D60DC" w14:paraId="11F1CA30" w14:textId="71D967D6" w:rsidTr="00D8306D">
        <w:tc>
          <w:tcPr>
            <w:tcW w:w="5103" w:type="dxa"/>
          </w:tcPr>
          <w:p w14:paraId="61A855D5" w14:textId="3D0880E7" w:rsidR="00D8306D" w:rsidRPr="008D60DC" w:rsidRDefault="00D8306D" w:rsidP="00D8306D">
            <w:pPr>
              <w:jc w:val="both"/>
              <w:rPr>
                <w:rFonts w:ascii="Arial" w:hAnsi="Arial" w:cs="Arial"/>
              </w:rPr>
            </w:pPr>
            <w:r w:rsidRPr="008D60DC">
              <w:rPr>
                <w:rFonts w:ascii="Arial" w:hAnsi="Arial" w:cs="Arial"/>
              </w:rPr>
              <w:t xml:space="preserve">Oman’s Ibri </w:t>
            </w:r>
            <w:r w:rsidR="00710B71" w:rsidRPr="008D60DC">
              <w:rPr>
                <w:rFonts w:ascii="Arial" w:hAnsi="Arial" w:cs="Arial"/>
              </w:rPr>
              <w:t xml:space="preserve">II </w:t>
            </w:r>
            <w:r w:rsidR="0049442D" w:rsidRPr="008D60DC">
              <w:rPr>
                <w:rFonts w:ascii="Arial" w:hAnsi="Arial" w:cs="Arial"/>
              </w:rPr>
              <w:t xml:space="preserve">Solar Power plant which is located north of the Rub’ al Khali </w:t>
            </w:r>
            <w:r w:rsidR="008A1A38" w:rsidRPr="008D60DC">
              <w:rPr>
                <w:rFonts w:ascii="Arial" w:hAnsi="Arial" w:cs="Arial"/>
              </w:rPr>
              <w:t>can</w:t>
            </w:r>
            <w:r w:rsidR="00E17780" w:rsidRPr="008D60DC">
              <w:rPr>
                <w:rFonts w:ascii="Arial" w:hAnsi="Arial" w:cs="Arial"/>
              </w:rPr>
              <w:t xml:space="preserve"> generate enough electricity </w:t>
            </w:r>
            <w:r w:rsidR="00C45779" w:rsidRPr="008D60DC">
              <w:rPr>
                <w:rFonts w:ascii="Arial" w:hAnsi="Arial" w:cs="Arial"/>
              </w:rPr>
              <w:t>for approximately 33,000</w:t>
            </w:r>
            <w:r w:rsidR="0049442D" w:rsidRPr="008D60DC">
              <w:rPr>
                <w:rFonts w:ascii="Arial" w:hAnsi="Arial" w:cs="Arial"/>
              </w:rPr>
              <w:t xml:space="preserve"> is an example of the </w:t>
            </w:r>
            <w:r w:rsidR="00C45779" w:rsidRPr="008D60DC">
              <w:rPr>
                <w:rFonts w:ascii="Arial" w:hAnsi="Arial" w:cs="Arial"/>
              </w:rPr>
              <w:t xml:space="preserve">potential solar energy could have in the region. </w:t>
            </w:r>
          </w:p>
        </w:tc>
        <w:tc>
          <w:tcPr>
            <w:tcW w:w="5103" w:type="dxa"/>
          </w:tcPr>
          <w:p w14:paraId="3C717F91" w14:textId="6610309B" w:rsidR="00D8306D" w:rsidRPr="008D60DC" w:rsidRDefault="00D8306D" w:rsidP="00D8306D">
            <w:pPr>
              <w:jc w:val="both"/>
              <w:rPr>
                <w:rFonts w:ascii="Arial" w:hAnsi="Arial" w:cs="Arial"/>
              </w:rPr>
            </w:pPr>
            <w:r w:rsidRPr="008D60DC">
              <w:rPr>
                <w:rFonts w:ascii="Arial" w:hAnsi="Arial" w:cs="Arial"/>
              </w:rPr>
              <w:t>The cost of building in the desert is high</w:t>
            </w:r>
            <w:r w:rsidR="00C45779" w:rsidRPr="008D60DC">
              <w:rPr>
                <w:rFonts w:ascii="Arial" w:hAnsi="Arial" w:cs="Arial"/>
              </w:rPr>
              <w:t xml:space="preserve"> due to limited access and the </w:t>
            </w:r>
            <w:r w:rsidR="008A1A38" w:rsidRPr="008D60DC">
              <w:rPr>
                <w:rFonts w:ascii="Arial" w:hAnsi="Arial" w:cs="Arial"/>
              </w:rPr>
              <w:t>issues faced with the type of terrain in the Rub’ al Khali</w:t>
            </w:r>
            <w:r w:rsidRPr="008D60DC">
              <w:rPr>
                <w:rFonts w:ascii="Arial" w:hAnsi="Arial" w:cs="Arial"/>
              </w:rPr>
              <w:t>.</w:t>
            </w:r>
          </w:p>
        </w:tc>
      </w:tr>
      <w:tr w:rsidR="00D8306D" w:rsidRPr="008D60DC" w14:paraId="3415F25D" w14:textId="51738734" w:rsidTr="00D8306D">
        <w:tc>
          <w:tcPr>
            <w:tcW w:w="5103" w:type="dxa"/>
          </w:tcPr>
          <w:p w14:paraId="03E645F1" w14:textId="236035BE" w:rsidR="00D8306D" w:rsidRPr="008D60DC" w:rsidRDefault="00082F31" w:rsidP="00D8306D">
            <w:pPr>
              <w:jc w:val="both"/>
              <w:rPr>
                <w:rFonts w:ascii="Arial" w:hAnsi="Arial" w:cs="Arial"/>
              </w:rPr>
            </w:pPr>
            <w:r w:rsidRPr="008D60DC">
              <w:rPr>
                <w:rFonts w:ascii="Arial" w:hAnsi="Arial" w:cs="Arial"/>
              </w:rPr>
              <w:t xml:space="preserve">Renewable energy could have backing from major energy firms </w:t>
            </w:r>
            <w:r w:rsidR="00B058AF" w:rsidRPr="008D60DC">
              <w:rPr>
                <w:rFonts w:ascii="Arial" w:hAnsi="Arial" w:cs="Arial"/>
              </w:rPr>
              <w:t xml:space="preserve">who already operate in the area. </w:t>
            </w:r>
          </w:p>
        </w:tc>
        <w:tc>
          <w:tcPr>
            <w:tcW w:w="5103" w:type="dxa"/>
          </w:tcPr>
          <w:p w14:paraId="5816C096" w14:textId="66F5AE95" w:rsidR="00D8306D" w:rsidRPr="008D60DC" w:rsidRDefault="008D60DC" w:rsidP="00D8306D">
            <w:pPr>
              <w:jc w:val="both"/>
              <w:rPr>
                <w:rFonts w:ascii="Arial" w:hAnsi="Arial" w:cs="Arial"/>
              </w:rPr>
            </w:pPr>
            <w:r w:rsidRPr="008D60DC">
              <w:rPr>
                <w:rFonts w:ascii="Arial" w:hAnsi="Arial" w:cs="Arial"/>
              </w:rPr>
              <w:t>Development could impact rare desert species like the Arabian Oryx, which was once extinct in the wild and reintroduced in the Arabian Oryx Sanctuary.</w:t>
            </w:r>
          </w:p>
        </w:tc>
      </w:tr>
      <w:tr w:rsidR="00D8306D" w:rsidRPr="008D60DC" w14:paraId="057A0DDC" w14:textId="6DDC4775" w:rsidTr="00D8306D">
        <w:tc>
          <w:tcPr>
            <w:tcW w:w="5103" w:type="dxa"/>
          </w:tcPr>
          <w:p w14:paraId="61F169F0" w14:textId="5124B15E" w:rsidR="00D8306D" w:rsidRPr="008D60DC" w:rsidRDefault="00D8306D" w:rsidP="00D8306D">
            <w:pPr>
              <w:jc w:val="both"/>
              <w:rPr>
                <w:rFonts w:ascii="Arial" w:hAnsi="Arial" w:cs="Arial"/>
              </w:rPr>
            </w:pPr>
            <w:r w:rsidRPr="008D60DC">
              <w:rPr>
                <w:rFonts w:ascii="Arial" w:hAnsi="Arial" w:cs="Arial"/>
              </w:rPr>
              <w:t>The Oman Botanic Garden has been studying desert plant adaptation, which could inform sustainable development</w:t>
            </w:r>
            <w:r w:rsidR="00F60095" w:rsidRPr="008D60DC">
              <w:rPr>
                <w:rFonts w:ascii="Arial" w:hAnsi="Arial" w:cs="Arial"/>
              </w:rPr>
              <w:t xml:space="preserve"> of the region</w:t>
            </w:r>
            <w:r w:rsidRPr="008D60DC">
              <w:rPr>
                <w:rFonts w:ascii="Arial" w:hAnsi="Arial" w:cs="Arial"/>
              </w:rPr>
              <w:t>.</w:t>
            </w:r>
          </w:p>
        </w:tc>
        <w:tc>
          <w:tcPr>
            <w:tcW w:w="5103" w:type="dxa"/>
          </w:tcPr>
          <w:p w14:paraId="36AE4698" w14:textId="3EB5EA9D" w:rsidR="00D8306D" w:rsidRPr="008D60DC" w:rsidRDefault="008D60DC" w:rsidP="00D8306D">
            <w:pPr>
              <w:jc w:val="both"/>
              <w:rPr>
                <w:rFonts w:ascii="Arial" w:hAnsi="Arial" w:cs="Arial"/>
              </w:rPr>
            </w:pPr>
            <w:r w:rsidRPr="008D60DC">
              <w:rPr>
                <w:rFonts w:ascii="Arial" w:hAnsi="Arial" w:cs="Arial"/>
              </w:rPr>
              <w:t>Excessive groundwater extraction could deplete fragile water sources, as seen in some wadi ecosystems in Oman.</w:t>
            </w:r>
          </w:p>
        </w:tc>
      </w:tr>
      <w:tr w:rsidR="00D8306D" w:rsidRPr="008D60DC" w14:paraId="5AEA6C99" w14:textId="51FE72A7" w:rsidTr="00D8306D">
        <w:tc>
          <w:tcPr>
            <w:tcW w:w="5103" w:type="dxa"/>
          </w:tcPr>
          <w:p w14:paraId="36725317" w14:textId="2AE7349A" w:rsidR="00D8306D" w:rsidRPr="008D60DC" w:rsidRDefault="00D8306D" w:rsidP="00D8306D">
            <w:pPr>
              <w:jc w:val="both"/>
              <w:rPr>
                <w:rFonts w:ascii="Arial" w:hAnsi="Arial" w:cs="Arial"/>
              </w:rPr>
            </w:pPr>
            <w:r w:rsidRPr="008D60DC">
              <w:rPr>
                <w:rFonts w:ascii="Arial" w:hAnsi="Arial" w:cs="Arial"/>
              </w:rPr>
              <w:t>The Royal Geographical Society’s expeditions have studied the Rub' al Khali</w:t>
            </w:r>
            <w:r w:rsidR="00F60095" w:rsidRPr="008D60DC">
              <w:rPr>
                <w:rFonts w:ascii="Arial" w:hAnsi="Arial" w:cs="Arial"/>
              </w:rPr>
              <w:t xml:space="preserve"> giving people</w:t>
            </w:r>
            <w:r w:rsidR="006D29A5" w:rsidRPr="008D60DC">
              <w:rPr>
                <w:rFonts w:ascii="Arial" w:hAnsi="Arial" w:cs="Arial"/>
              </w:rPr>
              <w:t xml:space="preserve"> insight in the area</w:t>
            </w:r>
            <w:r w:rsidRPr="008D60DC">
              <w:rPr>
                <w:rFonts w:ascii="Arial" w:hAnsi="Arial" w:cs="Arial"/>
              </w:rPr>
              <w:t>.</w:t>
            </w:r>
          </w:p>
        </w:tc>
        <w:tc>
          <w:tcPr>
            <w:tcW w:w="5103" w:type="dxa"/>
          </w:tcPr>
          <w:p w14:paraId="29813EE5" w14:textId="76896C72" w:rsidR="00D8306D" w:rsidRPr="008D60DC" w:rsidRDefault="008D60DC" w:rsidP="00D8306D">
            <w:pPr>
              <w:jc w:val="both"/>
              <w:rPr>
                <w:rFonts w:ascii="Arial" w:hAnsi="Arial" w:cs="Arial"/>
              </w:rPr>
            </w:pPr>
            <w:r w:rsidRPr="008D60DC">
              <w:rPr>
                <w:rFonts w:ascii="Arial" w:hAnsi="Arial" w:cs="Arial"/>
              </w:rPr>
              <w:t>The need for long-term energy and water solutions is crucial, with potential for solar farms like those in Ibri and Amin (which could be expanded to the Rub' al Khali).</w:t>
            </w:r>
          </w:p>
        </w:tc>
      </w:tr>
      <w:tr w:rsidR="00D8306D" w:rsidRPr="008D60DC" w14:paraId="160E4FEC" w14:textId="480BB4FD" w:rsidTr="00D8306D">
        <w:tc>
          <w:tcPr>
            <w:tcW w:w="5103" w:type="dxa"/>
          </w:tcPr>
          <w:p w14:paraId="6EBAF9CE" w14:textId="03C76DAA" w:rsidR="00D8306D" w:rsidRPr="008D60DC" w:rsidRDefault="00903A09" w:rsidP="00D830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Extensions to road building projects such as the </w:t>
            </w:r>
            <w:r w:rsidR="00D8306D" w:rsidRPr="008D60DC">
              <w:rPr>
                <w:rFonts w:ascii="Arial" w:hAnsi="Arial" w:cs="Arial"/>
              </w:rPr>
              <w:t>Adam–</w:t>
            </w:r>
            <w:proofErr w:type="spellStart"/>
            <w:r w:rsidR="00D8306D" w:rsidRPr="008D60DC">
              <w:rPr>
                <w:rFonts w:ascii="Arial" w:hAnsi="Arial" w:cs="Arial"/>
              </w:rPr>
              <w:t>Thumrait</w:t>
            </w:r>
            <w:proofErr w:type="spellEnd"/>
            <w:r w:rsidR="00D8306D" w:rsidRPr="008D60DC">
              <w:rPr>
                <w:rFonts w:ascii="Arial" w:hAnsi="Arial" w:cs="Arial"/>
              </w:rPr>
              <w:t xml:space="preserve"> Road</w:t>
            </w:r>
            <w:r w:rsidR="00881DC2">
              <w:rPr>
                <w:rFonts w:ascii="Arial" w:hAnsi="Arial" w:cs="Arial"/>
              </w:rPr>
              <w:t xml:space="preserve"> Project could help </w:t>
            </w:r>
            <w:r w:rsidR="00D8306D" w:rsidRPr="008D60DC">
              <w:rPr>
                <w:rFonts w:ascii="Arial" w:hAnsi="Arial" w:cs="Arial"/>
              </w:rPr>
              <w:t xml:space="preserve">to improve connectivity </w:t>
            </w:r>
            <w:r w:rsidR="00375CB5" w:rsidRPr="008D60DC">
              <w:rPr>
                <w:rFonts w:ascii="Arial" w:hAnsi="Arial" w:cs="Arial"/>
              </w:rPr>
              <w:t xml:space="preserve">into desert areas. </w:t>
            </w:r>
          </w:p>
        </w:tc>
        <w:tc>
          <w:tcPr>
            <w:tcW w:w="5103" w:type="dxa"/>
          </w:tcPr>
          <w:p w14:paraId="042B2D86" w14:textId="320CEC10" w:rsidR="00D8306D" w:rsidRPr="008D60DC" w:rsidRDefault="008D60DC" w:rsidP="00D8306D">
            <w:pPr>
              <w:jc w:val="both"/>
              <w:rPr>
                <w:rFonts w:ascii="Arial" w:hAnsi="Arial" w:cs="Arial"/>
              </w:rPr>
            </w:pPr>
            <w:r w:rsidRPr="008D60DC">
              <w:rPr>
                <w:rFonts w:ascii="Arial" w:hAnsi="Arial" w:cs="Arial"/>
              </w:rPr>
              <w:t>Waste management and desert conservation efforts need to be implemented to avoid degradation, as seen in the Wahiba Sands eco-tourism model.</w:t>
            </w:r>
          </w:p>
        </w:tc>
      </w:tr>
    </w:tbl>
    <w:p w14:paraId="7BDAE9AB" w14:textId="7B89906E" w:rsidR="002D1B20" w:rsidRDefault="003725B1" w:rsidP="006D7EB2">
      <w:r>
        <w:rPr>
          <w:noProof/>
        </w:rPr>
        <w:drawing>
          <wp:anchor distT="0" distB="0" distL="114300" distR="114300" simplePos="0" relativeHeight="251659264" behindDoc="0" locked="0" layoutInCell="1" allowOverlap="1" wp14:anchorId="6776C664" wp14:editId="306389D9">
            <wp:simplePos x="0" y="0"/>
            <wp:positionH relativeFrom="column">
              <wp:posOffset>-361950</wp:posOffset>
            </wp:positionH>
            <wp:positionV relativeFrom="paragraph">
              <wp:posOffset>524761</wp:posOffset>
            </wp:positionV>
            <wp:extent cx="1619250" cy="775719"/>
            <wp:effectExtent l="0" t="0" r="0" b="5715"/>
            <wp:wrapNone/>
            <wp:docPr id="1381914805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914805" name="Picture 2" descr="A close-up of a logo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956" cy="778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1B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031F"/>
    <w:multiLevelType w:val="hybridMultilevel"/>
    <w:tmpl w:val="D0945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3ECD"/>
    <w:multiLevelType w:val="multilevel"/>
    <w:tmpl w:val="1090C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1282E"/>
    <w:multiLevelType w:val="multilevel"/>
    <w:tmpl w:val="5A6C6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444CDF"/>
    <w:multiLevelType w:val="hybridMultilevel"/>
    <w:tmpl w:val="75CC7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86AE8"/>
    <w:multiLevelType w:val="hybridMultilevel"/>
    <w:tmpl w:val="33C0C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174505">
    <w:abstractNumId w:val="1"/>
  </w:num>
  <w:num w:numId="2" w16cid:durableId="1599364862">
    <w:abstractNumId w:val="2"/>
  </w:num>
  <w:num w:numId="3" w16cid:durableId="1553999904">
    <w:abstractNumId w:val="0"/>
  </w:num>
  <w:num w:numId="4" w16cid:durableId="55082528">
    <w:abstractNumId w:val="3"/>
  </w:num>
  <w:num w:numId="5" w16cid:durableId="593711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80"/>
    <w:rsid w:val="000242EC"/>
    <w:rsid w:val="00025A51"/>
    <w:rsid w:val="00082F31"/>
    <w:rsid w:val="000A2730"/>
    <w:rsid w:val="000C16A5"/>
    <w:rsid w:val="002D1B20"/>
    <w:rsid w:val="003725B1"/>
    <w:rsid w:val="00375CB5"/>
    <w:rsid w:val="003F5532"/>
    <w:rsid w:val="00406DEF"/>
    <w:rsid w:val="0046089A"/>
    <w:rsid w:val="0049442D"/>
    <w:rsid w:val="004E6305"/>
    <w:rsid w:val="00685EE4"/>
    <w:rsid w:val="006D29A5"/>
    <w:rsid w:val="006D4FF0"/>
    <w:rsid w:val="006D7EB2"/>
    <w:rsid w:val="00710B71"/>
    <w:rsid w:val="007B67E6"/>
    <w:rsid w:val="00881DC2"/>
    <w:rsid w:val="008A1A38"/>
    <w:rsid w:val="008D60DC"/>
    <w:rsid w:val="00903A09"/>
    <w:rsid w:val="00916E64"/>
    <w:rsid w:val="0097686E"/>
    <w:rsid w:val="009C09FB"/>
    <w:rsid w:val="00A66CA6"/>
    <w:rsid w:val="00AB60E6"/>
    <w:rsid w:val="00B058AF"/>
    <w:rsid w:val="00B138A5"/>
    <w:rsid w:val="00B644E8"/>
    <w:rsid w:val="00BB1D39"/>
    <w:rsid w:val="00BE2C4A"/>
    <w:rsid w:val="00BF348C"/>
    <w:rsid w:val="00C321BC"/>
    <w:rsid w:val="00C45779"/>
    <w:rsid w:val="00C750A3"/>
    <w:rsid w:val="00CA24DD"/>
    <w:rsid w:val="00CE2509"/>
    <w:rsid w:val="00D14F44"/>
    <w:rsid w:val="00D8306D"/>
    <w:rsid w:val="00D97782"/>
    <w:rsid w:val="00DA1319"/>
    <w:rsid w:val="00E17780"/>
    <w:rsid w:val="00E92880"/>
    <w:rsid w:val="00EB6300"/>
    <w:rsid w:val="00F1138E"/>
    <w:rsid w:val="00F60095"/>
    <w:rsid w:val="00FB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42B47"/>
  <w15:chartTrackingRefBased/>
  <w15:docId w15:val="{6E43C719-33CC-4A91-BAB8-002CF93E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8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8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8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8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8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8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8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8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8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8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8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8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8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8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8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8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8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8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8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8" ma:contentTypeDescription="Create a new document." ma:contentTypeScope="" ma:versionID="80b6d4c330bd052135854d6547464b9e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612ded6ac3ecb0adab5874307195783d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15a49c-d695-4170-b908-46c0a4a404c6" xsi:nil="true"/>
    <lcf76f155ced4ddcb4097134ff3c332f xmlns="cd97f3f7-55af-4798-b3a1-fe70b13b3c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F492A6-4E74-4AB2-9E71-9352465FE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88369-D083-462B-822F-A85889191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383C45-791A-4718-92E1-1DF7299A2965}">
  <ds:schemaRefs>
    <ds:schemaRef ds:uri="http://schemas.microsoft.com/office/2006/metadata/properties"/>
    <ds:schemaRef ds:uri="http://schemas.microsoft.com/office/infopath/2007/PartnerControls"/>
    <ds:schemaRef ds:uri="0515a49c-d695-4170-b908-46c0a4a404c6"/>
    <ds:schemaRef ds:uri="cd97f3f7-55af-4798-b3a1-fe70b13b3c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Owen</dc:creator>
  <cp:keywords/>
  <dc:description/>
  <cp:lastModifiedBy>Rachel Owen</cp:lastModifiedBy>
  <cp:revision>38</cp:revision>
  <dcterms:created xsi:type="dcterms:W3CDTF">2025-03-21T16:35:00Z</dcterms:created>
  <dcterms:modified xsi:type="dcterms:W3CDTF">2025-03-24T16:01:00Z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0x010100758B09AEAC5F5243A0949F91B324FB69</vt:lpwstr>
  </property>
  <property fmtid="{D5CDD505-2E9C-101B-9397-08002B2CF9AE}" pid="3" name="MediaServiceImageTags">
    <vt:lpwstr/>
  </property>
</Properties>
</file>